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56" w:type="dxa"/>
        <w:tblLook w:val="04A0" w:firstRow="1" w:lastRow="0" w:firstColumn="1" w:lastColumn="0" w:noHBand="0" w:noVBand="1"/>
      </w:tblPr>
      <w:tblGrid>
        <w:gridCol w:w="2134"/>
        <w:gridCol w:w="1792"/>
        <w:gridCol w:w="1109"/>
        <w:gridCol w:w="1440"/>
        <w:gridCol w:w="3281"/>
      </w:tblGrid>
      <w:tr w:rsidR="00210C9E" w14:paraId="69340D1D" w14:textId="77777777" w:rsidTr="00AC2DBC">
        <w:trPr>
          <w:trHeight w:val="646"/>
        </w:trPr>
        <w:tc>
          <w:tcPr>
            <w:tcW w:w="2134" w:type="dxa"/>
          </w:tcPr>
          <w:p w14:paraId="0C5DA06C" w14:textId="77777777" w:rsidR="00210C9E" w:rsidRDefault="00210C9E">
            <w:r>
              <w:t>Requirement</w:t>
            </w:r>
          </w:p>
        </w:tc>
        <w:tc>
          <w:tcPr>
            <w:tcW w:w="1792" w:type="dxa"/>
          </w:tcPr>
          <w:p w14:paraId="7EE00BFD" w14:textId="77777777" w:rsidR="00210C9E" w:rsidRDefault="00210C9E">
            <w:r>
              <w:t>Specification</w:t>
            </w:r>
          </w:p>
        </w:tc>
        <w:tc>
          <w:tcPr>
            <w:tcW w:w="1109" w:type="dxa"/>
          </w:tcPr>
          <w:p w14:paraId="7438E5C4" w14:textId="77777777" w:rsidR="00210C9E" w:rsidRDefault="00210C9E">
            <w:r>
              <w:t>Units</w:t>
            </w:r>
          </w:p>
        </w:tc>
        <w:tc>
          <w:tcPr>
            <w:tcW w:w="1440" w:type="dxa"/>
          </w:tcPr>
          <w:p w14:paraId="45D38910" w14:textId="77777777" w:rsidR="00210C9E" w:rsidRDefault="00210C9E">
            <w:r>
              <w:t>Justification</w:t>
            </w:r>
          </w:p>
        </w:tc>
        <w:tc>
          <w:tcPr>
            <w:tcW w:w="3281" w:type="dxa"/>
          </w:tcPr>
          <w:p w14:paraId="5F3E0433" w14:textId="77777777" w:rsidR="00210C9E" w:rsidRDefault="00210C9E">
            <w:r>
              <w:t>Testing Method</w:t>
            </w:r>
          </w:p>
        </w:tc>
      </w:tr>
      <w:tr w:rsidR="00210C9E" w14:paraId="6CDD169C" w14:textId="77777777" w:rsidTr="00AC2DBC">
        <w:trPr>
          <w:trHeight w:val="664"/>
        </w:trPr>
        <w:tc>
          <w:tcPr>
            <w:tcW w:w="2134" w:type="dxa"/>
          </w:tcPr>
          <w:p w14:paraId="0CE803A8" w14:textId="77777777" w:rsidR="00210C9E" w:rsidRDefault="00210C9E">
            <w:r>
              <w:t>Bending Stiffness</w:t>
            </w:r>
            <w:r w:rsidR="00C0317B">
              <w:t xml:space="preserve"> per unit width</w:t>
            </w:r>
          </w:p>
        </w:tc>
        <w:tc>
          <w:tcPr>
            <w:tcW w:w="1792" w:type="dxa"/>
          </w:tcPr>
          <w:p w14:paraId="3BE0E9A5" w14:textId="77777777" w:rsidR="00210C9E" w:rsidRDefault="00AC2DBC">
            <w:r>
              <w:t xml:space="preserve">Less than </w:t>
            </w:r>
            <w:r w:rsidR="00C0317B">
              <w:t>0.00252</w:t>
            </w:r>
          </w:p>
        </w:tc>
        <w:tc>
          <w:tcPr>
            <w:tcW w:w="1109" w:type="dxa"/>
          </w:tcPr>
          <w:p w14:paraId="3E703FD3" w14:textId="77777777" w:rsidR="00210C9E" w:rsidRDefault="00C0317B">
            <w:r>
              <w:t>N*m</w:t>
            </w:r>
          </w:p>
        </w:tc>
        <w:tc>
          <w:tcPr>
            <w:tcW w:w="1440" w:type="dxa"/>
          </w:tcPr>
          <w:p w14:paraId="734D562B" w14:textId="77777777" w:rsidR="00210C9E" w:rsidRDefault="00AF3FCD">
            <w:r>
              <w:t>Appendix A</w:t>
            </w:r>
          </w:p>
        </w:tc>
        <w:tc>
          <w:tcPr>
            <w:tcW w:w="3281" w:type="dxa"/>
          </w:tcPr>
          <w:p w14:paraId="78EFABA0" w14:textId="77777777" w:rsidR="00210C9E" w:rsidRDefault="00AF3FCD" w:rsidP="00AF3FCD">
            <w:pPr>
              <w:pStyle w:val="ListParagraph"/>
              <w:numPr>
                <w:ilvl w:val="0"/>
                <w:numId w:val="1"/>
              </w:numPr>
            </w:pPr>
            <w:r>
              <w:t>Theoretical Calculation</w:t>
            </w:r>
            <w:r w:rsidR="000A01C8">
              <w:t xml:space="preserve"> using published values for Modulus of elasticity</w:t>
            </w:r>
            <w:r w:rsidR="00AC2DBC">
              <w:t xml:space="preserve"> and determined geometrical properties. </w:t>
            </w:r>
            <w:r w:rsidR="000A01C8">
              <w:t xml:space="preserve"> </w:t>
            </w:r>
          </w:p>
          <w:p w14:paraId="1D980AA5" w14:textId="77777777" w:rsidR="00AF3FCD" w:rsidRDefault="00AF3FCD" w:rsidP="000A01C8">
            <w:pPr>
              <w:pStyle w:val="ListParagraph"/>
            </w:pPr>
          </w:p>
        </w:tc>
      </w:tr>
      <w:tr w:rsidR="00210C9E" w14:paraId="5723F181" w14:textId="77777777" w:rsidTr="00AC2DBC">
        <w:trPr>
          <w:trHeight w:val="332"/>
        </w:trPr>
        <w:tc>
          <w:tcPr>
            <w:tcW w:w="2134" w:type="dxa"/>
          </w:tcPr>
          <w:p w14:paraId="78B94120" w14:textId="77777777" w:rsidR="00210C9E" w:rsidRDefault="00A80308">
            <w:r>
              <w:t>Open Circuit Voltage</w:t>
            </w:r>
          </w:p>
        </w:tc>
        <w:tc>
          <w:tcPr>
            <w:tcW w:w="1792" w:type="dxa"/>
          </w:tcPr>
          <w:p w14:paraId="76045C89" w14:textId="77777777" w:rsidR="00210C9E" w:rsidRDefault="00A80308">
            <w:r>
              <w:t xml:space="preserve">2.8 </w:t>
            </w:r>
          </w:p>
        </w:tc>
        <w:tc>
          <w:tcPr>
            <w:tcW w:w="1109" w:type="dxa"/>
          </w:tcPr>
          <w:p w14:paraId="205EF3F9" w14:textId="77777777" w:rsidR="00210C9E" w:rsidRDefault="00A80308">
            <w:r>
              <w:t>Volts</w:t>
            </w:r>
          </w:p>
        </w:tc>
        <w:tc>
          <w:tcPr>
            <w:tcW w:w="1440" w:type="dxa"/>
          </w:tcPr>
          <w:p w14:paraId="75C26933" w14:textId="77777777" w:rsidR="00210C9E" w:rsidRDefault="00A80308">
            <w:r>
              <w:fldChar w:fldCharType="begin" w:fldLock="1"/>
            </w:r>
            <w:r>
              <w:instrText>ADDIN CSL_CITATION { "citationItems" : [ { "id" : "ITEM-1", "itemData" : { "ISSN" : "0972-6292", "PMID" : "16943934", "abstract" : "Batteries used in Implantable cardiac pacemakers-present unique challenges to their developers and manufacturers in terms of high levels of safety and reliability. In addition, the batteries must have longevity to avoid frequent replacements. Technological advances in leads/electrodes have reduced energy requirements by two orders of magnitude. Micro-electronics advances sharply reduce internal current drain concurrently decreasing size and increasing functionality, reliability, and longevity. It is reported that about 600,000 pacemakers are implanted each year worldwide and the total number of people with various types of implanted pacemaker has already crossed 3 million. A cardiac pacemaker uses half of its battery power for cardiac stimulation and the other half for housekeeping tasks such as monitoring and data logging. The first implanted cardiac pacemaker used nickel-cadmium rechargeable battery, later on zinc-mercury battery was developed and used which lasted for over 2 years. Lithium iodine battery invented and used by Wilson Greatbatch and his team in 1972 made the real impact to implantable cardiac pacemakers. This battery lasts for about 10 years and even today is the power source for many manufacturers of cardiac pacemakers. This paper briefly reviews various developments of battery technologies since the inception of cardiac pacemaker and presents the alternative to lithium iodine battery for the near future.", "author" : [ { "dropping-particle" : "", "family" : "Mallela", "given" : "Venkateswara Sarma", "non-dropping-particle" : "", "parse-names" : false, "suffix" : "" }, { "dropping-particle" : "", "family" : "Ilankumaran", "given" : "V", "non-dropping-particle" : "", "parse-names" : false, "suffix" : "" }, { "dropping-particle" : "", "family" : "Rao", "given" : "N Srinivasa", "non-dropping-particle" : "", "parse-names" : false, "suffix" : "" } ], "container-title" : "Indian pacing and electrophysiology journal", "id" : "ITEM-1", "issue" : "4", "issued" : { "date-parts" : [ [ "2004", "10", "1" ] ] }, "page" : "201-12", "publisher" : "Elsevier", "title" : "Trends in cardiac pacemaker batteries.", "type" : "article-journal", "volume" : "4" }, "uris" : [ "http://www.mendeley.com/documents/?uuid=9a029296-4c8a-301e-9729-bcd026bcdeb7" ] } ], "mendeley" : { "formattedCitation" : "[1]", "plainTextFormattedCitation" : "[1]", "previouslyFormattedCitation" : "[1]" }, "properties" : { "noteIndex" : 0 }, "schema" : "https://github.com/citation-style-language/schema/raw/master/csl-citation.json" }</w:instrText>
            </w:r>
            <w:r>
              <w:fldChar w:fldCharType="separate"/>
            </w:r>
            <w:r w:rsidRPr="00A80308">
              <w:rPr>
                <w:noProof/>
              </w:rPr>
              <w:t>[1]</w:t>
            </w:r>
            <w:r>
              <w:fldChar w:fldCharType="end"/>
            </w:r>
          </w:p>
        </w:tc>
        <w:tc>
          <w:tcPr>
            <w:tcW w:w="3281" w:type="dxa"/>
          </w:tcPr>
          <w:p w14:paraId="3E4AD040" w14:textId="77777777" w:rsidR="00210C9E" w:rsidRDefault="00210C9E"/>
        </w:tc>
      </w:tr>
      <w:tr w:rsidR="00210C9E" w14:paraId="5353933C" w14:textId="77777777" w:rsidTr="00AC2DBC">
        <w:trPr>
          <w:trHeight w:val="313"/>
        </w:trPr>
        <w:tc>
          <w:tcPr>
            <w:tcW w:w="2134" w:type="dxa"/>
          </w:tcPr>
          <w:p w14:paraId="18F4BBEE" w14:textId="77777777" w:rsidR="00210C9E" w:rsidRDefault="00A80308">
            <w:r>
              <w:t>Control Circuit Minimal Voltage</w:t>
            </w:r>
          </w:p>
        </w:tc>
        <w:tc>
          <w:tcPr>
            <w:tcW w:w="1792" w:type="dxa"/>
          </w:tcPr>
          <w:p w14:paraId="7FDA59AC" w14:textId="77777777" w:rsidR="00210C9E" w:rsidRDefault="00A80308">
            <w:r>
              <w:t>2.2</w:t>
            </w:r>
          </w:p>
        </w:tc>
        <w:tc>
          <w:tcPr>
            <w:tcW w:w="1109" w:type="dxa"/>
          </w:tcPr>
          <w:p w14:paraId="76AF0EDF" w14:textId="77777777" w:rsidR="00210C9E" w:rsidRDefault="00A80308">
            <w:r>
              <w:t>Volts</w:t>
            </w:r>
          </w:p>
        </w:tc>
        <w:tc>
          <w:tcPr>
            <w:tcW w:w="1440" w:type="dxa"/>
          </w:tcPr>
          <w:p w14:paraId="34DA76BA" w14:textId="77777777" w:rsidR="00210C9E" w:rsidRDefault="00A80308">
            <w:r>
              <w:fldChar w:fldCharType="begin" w:fldLock="1"/>
            </w:r>
            <w:r>
              <w:instrText>ADDIN CSL_CITATION { "citationItems" : [ { "id" : "ITEM-1", "itemData" : { "ISSN" : "0972-6292", "PMID" : "16943934", "abstract" : "Batteries used in Implantable cardiac pacemakers-present unique challenges to their developers and manufacturers in terms of high levels of safety and reliability. In addition, the batteries must have longevity to avoid frequent replacements. Technological advances in leads/electrodes have reduced energy requirements by two orders of magnitude. Micro-electronics advances sharply reduce internal current drain concurrently decreasing size and increasing functionality, reliability, and longevity. It is reported that about 600,000 pacemakers are implanted each year worldwide and the total number of people with various types of implanted pacemaker has already crossed 3 million. A cardiac pacemaker uses half of its battery power for cardiac stimulation and the other half for housekeeping tasks such as monitoring and data logging. The first implanted cardiac pacemaker used nickel-cadmium rechargeable battery, later on zinc-mercury battery was developed and used which lasted for over 2 years. Lithium iodine battery invented and used by Wilson Greatbatch and his team in 1972 made the real impact to implantable cardiac pacemakers. This battery lasts for about 10 years and even today is the power source for many manufacturers of cardiac pacemakers. This paper briefly reviews various developments of battery technologies since the inception of cardiac pacemaker and presents the alternative to lithium iodine battery for the near future.", "author" : [ { "dropping-particle" : "", "family" : "Mallela", "given" : "Venkateswara Sarma", "non-dropping-particle" : "", "parse-names" : false, "suffix" : "" }, { "dropping-particle" : "", "family" : "Ilankumaran", "given" : "V", "non-dropping-particle" : "", "parse-names" : false, "suffix" : "" }, { "dropping-particle" : "", "family" : "Rao", "given" : "N Srinivasa", "non-dropping-particle" : "", "parse-names" : false, "suffix" : "" } ], "container-title" : "Indian pacing and electrophysiology journal", "id" : "ITEM-1", "issue" : "4", "issued" : { "date-parts" : [ [ "2004", "10", "1" ] ] }, "page" : "201-12", "publisher" : "Elsevier", "title" : "Trends in cardiac pacemaker batteries.", "type" : "article-journal", "volume" : "4" }, "uris" : [ "http://www.mendeley.com/documents/?uuid=9a029296-4c8a-301e-9729-bcd026bcdeb7" ] } ], "mendeley" : { "formattedCitation" : "[1]", "plainTextFormattedCitation" : "[1]", "previouslyFormattedCitation" : "[1]" }, "properties" : { "noteIndex" : 0 }, "schema" : "https://github.com/citation-style-language/schema/raw/master/csl-citation.json" }</w:instrText>
            </w:r>
            <w:r>
              <w:fldChar w:fldCharType="separate"/>
            </w:r>
            <w:r w:rsidRPr="00A80308">
              <w:rPr>
                <w:noProof/>
              </w:rPr>
              <w:t>[1]</w:t>
            </w:r>
            <w:r>
              <w:fldChar w:fldCharType="end"/>
            </w:r>
          </w:p>
        </w:tc>
        <w:tc>
          <w:tcPr>
            <w:tcW w:w="3281" w:type="dxa"/>
          </w:tcPr>
          <w:p w14:paraId="3C097ED5" w14:textId="77777777" w:rsidR="00210C9E" w:rsidRDefault="00210C9E"/>
        </w:tc>
      </w:tr>
      <w:tr w:rsidR="00210C9E" w14:paraId="0426BB02" w14:textId="77777777" w:rsidTr="00AC2DBC">
        <w:trPr>
          <w:trHeight w:val="332"/>
        </w:trPr>
        <w:tc>
          <w:tcPr>
            <w:tcW w:w="2134" w:type="dxa"/>
          </w:tcPr>
          <w:p w14:paraId="4844472D" w14:textId="77777777" w:rsidR="00210C9E" w:rsidRDefault="00A80308">
            <w:r>
              <w:t>Control Circuit Current Drain</w:t>
            </w:r>
          </w:p>
        </w:tc>
        <w:tc>
          <w:tcPr>
            <w:tcW w:w="1792" w:type="dxa"/>
          </w:tcPr>
          <w:p w14:paraId="7E6B7624" w14:textId="77777777" w:rsidR="00210C9E" w:rsidRDefault="00A80308">
            <w:r>
              <w:t>10</w:t>
            </w:r>
          </w:p>
        </w:tc>
        <w:tc>
          <w:tcPr>
            <w:tcW w:w="1109" w:type="dxa"/>
          </w:tcPr>
          <w:p w14:paraId="7BA03963" w14:textId="77777777" w:rsidR="00210C9E" w:rsidRDefault="00A80308">
            <w:r>
              <w:t>µA</w:t>
            </w:r>
          </w:p>
        </w:tc>
        <w:tc>
          <w:tcPr>
            <w:tcW w:w="1440" w:type="dxa"/>
          </w:tcPr>
          <w:p w14:paraId="4CC683F9" w14:textId="77777777" w:rsidR="00210C9E" w:rsidRDefault="00A80308">
            <w:r>
              <w:fldChar w:fldCharType="begin" w:fldLock="1"/>
            </w:r>
            <w:r>
              <w:instrText>ADDIN CSL_CITATION { "citationItems" : [ { "id" : "ITEM-1", "itemData" : { "ISSN" : "0972-6292", "PMID" : "16943934", "abstract" : "Batteries used in Implantable cardiac pacemakers-present unique challenges to their developers and manufacturers in terms of high levels of safety and reliability. In addition, the batteries must have longevity to avoid frequent replacements. Technological advances in leads/electrodes have reduced energy requirements by two orders of magnitude. Micro-electronics advances sharply reduce internal current drain concurrently decreasing size and increasing functionality, reliability, and longevity. It is reported that about 600,000 pacemakers are implanted each year worldwide and the total number of people with various types of implanted pacemaker has already crossed 3 million. A cardiac pacemaker uses half of its battery power for cardiac stimulation and the other half for housekeeping tasks such as monitoring and data logging. The first implanted cardiac pacemaker used nickel-cadmium rechargeable battery, later on zinc-mercury battery was developed and used which lasted for over 2 years. Lithium iodine battery invented and used by Wilson Greatbatch and his team in 1972 made the real impact to implantable cardiac pacemakers. This battery lasts for about 10 years and even today is the power source for many manufacturers of cardiac pacemakers. This paper briefly reviews various developments of battery technologies since the inception of cardiac pacemaker and presents the alternative to lithium iodine battery for the near future.", "author" : [ { "dropping-particle" : "", "family" : "Mallela", "given" : "Venkateswara Sarma", "non-dropping-particle" : "", "parse-names" : false, "suffix" : "" }, { "dropping-particle" : "", "family" : "Ilankumaran", "given" : "V", "non-dropping-particle" : "", "parse-names" : false, "suffix" : "" }, { "dropping-particle" : "", "family" : "Rao", "given" : "N Srinivasa", "non-dropping-particle" : "", "parse-names" : false, "suffix" : "" } ], "container-title" : "Indian pacing and electrophysiology journal", "id" : "ITEM-1", "issue" : "4", "issued" : { "date-parts" : [ [ "2004", "10", "1" ] ] }, "page" : "201-12", "publisher" : "Elsevier", "title" : "Trends in cardiac pacemaker batteries.", "type" : "article-journal", "volume" : "4" }, "uris" : [ "http://www.mendeley.com/documents/?uuid=9a029296-4c8a-301e-9729-bcd026bcdeb7" ] } ], "mendeley" : { "formattedCitation" : "[1]", "plainTextFormattedCitation" : "[1]", "previouslyFormattedCitation" : "[1]" }, "properties" : { "noteIndex" : 0 }, "schema" : "https://github.com/citation-style-language/schema/raw/master/csl-citation.json" }</w:instrText>
            </w:r>
            <w:r>
              <w:fldChar w:fldCharType="separate"/>
            </w:r>
            <w:r w:rsidRPr="00A80308">
              <w:rPr>
                <w:noProof/>
              </w:rPr>
              <w:t>[1]</w:t>
            </w:r>
            <w:r>
              <w:fldChar w:fldCharType="end"/>
            </w:r>
          </w:p>
        </w:tc>
        <w:tc>
          <w:tcPr>
            <w:tcW w:w="3281" w:type="dxa"/>
          </w:tcPr>
          <w:p w14:paraId="76C1CEC8" w14:textId="77777777" w:rsidR="00210C9E" w:rsidRDefault="00210C9E"/>
        </w:tc>
      </w:tr>
      <w:tr w:rsidR="00210C9E" w14:paraId="0C4D989D" w14:textId="77777777" w:rsidTr="00AC2DBC">
        <w:trPr>
          <w:trHeight w:val="313"/>
        </w:trPr>
        <w:tc>
          <w:tcPr>
            <w:tcW w:w="2134" w:type="dxa"/>
          </w:tcPr>
          <w:p w14:paraId="5CE0E203" w14:textId="77777777" w:rsidR="00210C9E" w:rsidRDefault="00A80308">
            <w:r>
              <w:t>Pulse requirement</w:t>
            </w:r>
            <w:bookmarkStart w:id="0" w:name="_GoBack"/>
            <w:bookmarkEnd w:id="0"/>
            <w:r>
              <w:t xml:space="preserve"> </w:t>
            </w:r>
          </w:p>
        </w:tc>
        <w:tc>
          <w:tcPr>
            <w:tcW w:w="1792" w:type="dxa"/>
          </w:tcPr>
          <w:p w14:paraId="3A4B8653" w14:textId="77777777" w:rsidR="00210C9E" w:rsidRDefault="00A80308">
            <w:r>
              <w:t>25</w:t>
            </w:r>
          </w:p>
        </w:tc>
        <w:tc>
          <w:tcPr>
            <w:tcW w:w="1109" w:type="dxa"/>
          </w:tcPr>
          <w:p w14:paraId="7E6CF3F1" w14:textId="77777777" w:rsidR="00210C9E" w:rsidRDefault="00A80308">
            <w:r>
              <w:t>µ J</w:t>
            </w:r>
          </w:p>
        </w:tc>
        <w:tc>
          <w:tcPr>
            <w:tcW w:w="1440" w:type="dxa"/>
          </w:tcPr>
          <w:p w14:paraId="34D763EE" w14:textId="77777777" w:rsidR="00210C9E" w:rsidRDefault="00A80308">
            <w:r>
              <w:fldChar w:fldCharType="begin" w:fldLock="1"/>
            </w:r>
            <w:r>
              <w:instrText>ADDIN CSL_CITATION { "citationItems" : [ { "id" : "ITEM-1", "itemData" : { "ISSN" : "0972-6292", "PMID" : "16943934", "abstract" : "Batteries used in Implantable cardiac pacemakers-present unique challenges to their developers and manufacturers in terms of high levels of safety and reliability. In addition, the batteries must have longevity to avoid frequent replacements. Technological advances in leads/electrodes have reduced energy requirements by two orders of magnitude. Micro-electronics advances sharply reduce internal current drain concurrently decreasing size and increasing functionality, reliability, and longevity. It is reported that about 600,000 pacemakers are implanted each year worldwide and the total number of people with various types of implanted pacemaker has already crossed 3 million. A cardiac pacemaker uses half of its battery power for cardiac stimulation and the other half for housekeeping tasks such as monitoring and data logging. The first implanted cardiac pacemaker used nickel-cadmium rechargeable battery, later on zinc-mercury battery was developed and used which lasted for over 2 years. Lithium iodine battery invented and used by Wilson Greatbatch and his team in 1972 made the real impact to implantable cardiac pacemakers. This battery lasts for about 10 years and even today is the power source for many manufacturers of cardiac pacemakers. This paper briefly reviews various developments of battery technologies since the inception of cardiac pacemaker and presents the alternative to lithium iodine battery for the near future.", "author" : [ { "dropping-particle" : "", "family" : "Mallela", "given" : "Venkateswara Sarma", "non-dropping-particle" : "", "parse-names" : false, "suffix" : "" }, { "dropping-particle" : "", "family" : "Ilankumaran", "given" : "V", "non-dropping-particle" : "", "parse-names" : false, "suffix" : "" }, { "dropping-particle" : "", "family" : "Rao", "given" : "N Srinivasa", "non-dropping-particle" : "", "parse-names" : false, "suffix" : "" } ], "container-title" : "Indian pacing and electrophysiology journal", "id" : "ITEM-1", "issue" : "4", "issued" : { "date-parts" : [ [ "2004", "10", "1" ] ] }, "page" : "201-12", "publisher" : "Elsevier", "title" : "Trends in cardiac pacemaker batteries.", "type" : "article-journal", "volume" : "4" }, "uris" : [ "http://www.mendeley.com/documents/?uuid=9a029296-4c8a-301e-9729-bcd026bcdeb7" ] } ], "mendeley" : { "formattedCitation" : "[1]", "plainTextFormattedCitation" : "[1]" }, "properties" : { "noteIndex" : 0 }, "schema" : "https://github.com/citation-style-language/schema/raw/master/csl-citation.json" }</w:instrText>
            </w:r>
            <w:r>
              <w:fldChar w:fldCharType="separate"/>
            </w:r>
            <w:r w:rsidRPr="00A80308">
              <w:rPr>
                <w:noProof/>
              </w:rPr>
              <w:t>[1]</w:t>
            </w:r>
            <w:r>
              <w:fldChar w:fldCharType="end"/>
            </w:r>
          </w:p>
        </w:tc>
        <w:tc>
          <w:tcPr>
            <w:tcW w:w="3281" w:type="dxa"/>
          </w:tcPr>
          <w:p w14:paraId="46217335" w14:textId="77777777" w:rsidR="00210C9E" w:rsidRDefault="00210C9E"/>
        </w:tc>
      </w:tr>
    </w:tbl>
    <w:p w14:paraId="17E48924" w14:textId="77777777" w:rsidR="005115D7" w:rsidRDefault="00A80308"/>
    <w:p w14:paraId="356DF635" w14:textId="77777777" w:rsidR="00AF3FCD" w:rsidRDefault="00AF3FCD"/>
    <w:p w14:paraId="568B17B5" w14:textId="77777777" w:rsidR="00AF3FCD" w:rsidRDefault="00AF3FCD"/>
    <w:p w14:paraId="31196D65" w14:textId="77777777" w:rsidR="00210C9E" w:rsidRDefault="00AF3FCD">
      <w:r>
        <w:t>Appendix A</w:t>
      </w:r>
    </w:p>
    <w:p w14:paraId="37869216" w14:textId="77777777" w:rsidR="00210C9E" w:rsidRDefault="00C0317B">
      <w:pPr>
        <w:rPr>
          <w:rFonts w:eastAsiaTheme="minorEastAsia"/>
        </w:rPr>
      </w:pPr>
      <m:oMath>
        <m:r>
          <w:rPr>
            <w:rFonts w:ascii="Cambria Math" w:hAnsi="Cambria Math"/>
          </w:rPr>
          <m:t>Bending Stiffness =EI</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14:paraId="409F1A07" w14:textId="77777777" w:rsidR="00C0317B" w:rsidRDefault="00C0317B">
      <w:pPr>
        <w:rPr>
          <w:rFonts w:eastAsiaTheme="minorEastAsia"/>
        </w:rPr>
      </w:pPr>
      <w:r>
        <w:rPr>
          <w:rFonts w:eastAsiaTheme="minorEastAsia"/>
        </w:rPr>
        <w:t xml:space="preserve">Where </w:t>
      </w:r>
      <m:oMath>
        <m:r>
          <w:rPr>
            <w:rFonts w:ascii="Cambria Math" w:eastAsiaTheme="minorEastAsia" w:hAnsi="Cambria Math"/>
          </w:rPr>
          <m:t>E</m:t>
        </m:r>
      </m:oMath>
      <w:r>
        <w:rPr>
          <w:rFonts w:eastAsiaTheme="minorEastAsia"/>
        </w:rPr>
        <w:t xml:space="preserve"> is the Modulus of elasticity, and I is the Moment of Inertia in the deflected axis. We know that for a rectangular cross section</w:t>
      </w:r>
    </w:p>
    <w:p w14:paraId="32B655B0" w14:textId="77777777" w:rsidR="00C0317B" w:rsidRDefault="00C0317B">
      <w:pPr>
        <w:rPr>
          <w:rFonts w:eastAsiaTheme="minorEastAsia"/>
        </w:rPr>
      </w:pPr>
      <m:oMath>
        <m:r>
          <w:rPr>
            <w:rFonts w:ascii="Cambria Math" w:eastAsiaTheme="minorEastAsia" w:hAnsi="Cambria Math"/>
          </w:rPr>
          <m:t>I=</m:t>
        </m:r>
        <m:f>
          <m:fPr>
            <m:ctrlPr>
              <w:rPr>
                <w:rFonts w:ascii="Cambria Math" w:eastAsiaTheme="minorEastAsia" w:hAnsi="Cambria Math"/>
                <w:i/>
              </w:rPr>
            </m:ctrlPr>
          </m:fPr>
          <m:num>
            <m:r>
              <w:rPr>
                <w:rFonts w:ascii="Cambria Math" w:eastAsiaTheme="minorEastAsia" w:hAnsi="Cambria Math"/>
              </w:rPr>
              <m:t>w</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3</m:t>
                </m:r>
              </m:sup>
            </m:sSup>
          </m:num>
          <m:den>
            <m:r>
              <w:rPr>
                <w:rFonts w:ascii="Cambria Math" w:eastAsiaTheme="minorEastAsia" w:hAnsi="Cambria Math"/>
              </w:rPr>
              <m:t>12</m:t>
            </m:r>
          </m:den>
        </m:f>
      </m:oMath>
      <w:r>
        <w:rPr>
          <w:rFonts w:eastAsiaTheme="minorEastAsia"/>
        </w:rPr>
        <w:t xml:space="preserve"> </w:t>
      </w:r>
    </w:p>
    <w:p w14:paraId="1801FDEF" w14:textId="77777777" w:rsidR="00C0317B" w:rsidRDefault="00C0317B">
      <w:pPr>
        <w:rPr>
          <w:rFonts w:eastAsiaTheme="minorEastAsia"/>
        </w:rPr>
      </w:pPr>
      <w:r>
        <w:rPr>
          <w:rFonts w:eastAsiaTheme="minorEastAsia"/>
        </w:rPr>
        <w:t xml:space="preserve">Where w is the width of the beam and h is the height of the beam. So the bending stiffness per unit width would be </w:t>
      </w:r>
    </w:p>
    <w:p w14:paraId="1F7767C2" w14:textId="77777777" w:rsidR="00C0317B" w:rsidRPr="00C0317B" w:rsidRDefault="00C0317B">
      <w:pPr>
        <w:rPr>
          <w:rFonts w:eastAsiaTheme="minorEastAsia"/>
        </w:rPr>
      </w:pPr>
      <m:oMathPara>
        <m:oMath>
          <m:r>
            <w:rPr>
              <w:rFonts w:ascii="Cambria Math" w:hAnsi="Cambria Math"/>
            </w:rPr>
            <m:t>Bending Stiffness per Unit Width=</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h</m:t>
                  </m:r>
                </m:e>
                <m:sup>
                  <m:r>
                    <w:rPr>
                      <w:rFonts w:ascii="Cambria Math" w:hAnsi="Cambria Math"/>
                    </w:rPr>
                    <m:t>3</m:t>
                  </m:r>
                </m:sup>
              </m:sSup>
            </m:num>
            <m:den>
              <m:r>
                <w:rPr>
                  <w:rFonts w:ascii="Cambria Math" w:hAnsi="Cambria Math"/>
                </w:rPr>
                <m:t>12</m:t>
              </m:r>
            </m:den>
          </m:f>
        </m:oMath>
      </m:oMathPara>
    </w:p>
    <w:p w14:paraId="42D43E37" w14:textId="77777777" w:rsidR="00C0317B" w:rsidRDefault="00C0317B">
      <w:pPr>
        <w:rPr>
          <w:rFonts w:eastAsiaTheme="minorEastAsia"/>
        </w:rPr>
      </w:pPr>
      <w:r>
        <w:rPr>
          <w:rFonts w:eastAsiaTheme="minorEastAsia"/>
        </w:rPr>
        <w:t>A commonly used surgical material is a Dacron patch. A commonly u</w:t>
      </w:r>
      <w:r w:rsidR="00AF3FCD">
        <w:rPr>
          <w:rFonts w:eastAsiaTheme="minorEastAsia"/>
        </w:rPr>
        <w:t>sed Dacron (</w:t>
      </w:r>
      <w:proofErr w:type="spellStart"/>
      <w:r w:rsidR="00AF3FCD">
        <w:rPr>
          <w:rFonts w:eastAsiaTheme="minorEastAsia"/>
        </w:rPr>
        <w:t>mersiline</w:t>
      </w:r>
      <w:proofErr w:type="spellEnd"/>
      <w:r w:rsidR="00AF3FCD">
        <w:rPr>
          <w:rFonts w:eastAsiaTheme="minorEastAsia"/>
        </w:rPr>
        <w:t xml:space="preserve">) has h=300µm and E = </w:t>
      </w:r>
      <w:proofErr w:type="spellStart"/>
      <w:r w:rsidR="00AF3FCD">
        <w:rPr>
          <w:rFonts w:eastAsiaTheme="minorEastAsia"/>
        </w:rPr>
        <w:t>GPa</w:t>
      </w:r>
      <w:proofErr w:type="spellEnd"/>
      <w:r w:rsidR="00AF3FCD">
        <w:rPr>
          <w:rFonts w:eastAsiaTheme="minorEastAsia"/>
        </w:rPr>
        <w:t xml:space="preserve"> </w:t>
      </w:r>
      <w:r w:rsidR="00AF3FCD">
        <w:rPr>
          <w:rFonts w:eastAsiaTheme="minorEastAsia"/>
        </w:rPr>
        <w:fldChar w:fldCharType="begin" w:fldLock="1"/>
      </w:r>
      <w:r w:rsidR="00A80308">
        <w:rPr>
          <w:rFonts w:eastAsiaTheme="minorEastAsia"/>
        </w:rPr>
        <w:instrText>ADDIN CSL_CITATION { "citationItems" : [ { "id" : "ITEM-1", "itemData" : { "DOI" : "10.1038/srep16065", "ISSN" : "2045-2322", "abstract" : "Ultra-flexible Piezoelectric Devices Integrated with Heart to Harvest the Biomechanical Energy", "author" : [ { "dropping-particle" : "", "family" : "Lu", "given" : "Bingwei", "non-dropping-particle" : "", "parse-names" : false, "suffix" : "" }, { "dropping-particle" : "", "family" : "Chen", "given" : "Ying", "non-dropping-particle" : "", "parse-names" : false, "suffix" : "" }, { "dropping-particle" : "", "family" : "Ou", "given" : "Dapeng", "non-dropping-particle" : "", "parse-names" : false, "suffix" : "" }, { "dropping-particle" : "", "family" : "Chen", "given" : "Hang", "non-dropping-particle" : "", "parse-names" : false, "suffix" : "" }, { "dropping-particle" : "", "family" : "Diao", "given" : "Liwei", "non-dropping-particle" : "", "parse-names" : false, "suffix" : "" }, { "dropping-particle" : "", "family" : "Zhang", "given" : "Wei", "non-dropping-particle" : "", "parse-names" : false, "suffix" : "" }, { "dropping-particle" : "", "family" : "Zheng", "given" : "Jun", "non-dropping-particle" : "", "parse-names" : false, "suffix" : "" }, { "dropping-particle" : "", "family" : "Ma", "given" : "Weiguo", "non-dropping-particle" : "", "parse-names" : false, "suffix" : "" }, { "dropping-particle" : "", "family" : "Sun", "given" : "Lizhong", "non-dropping-particle" : "", "parse-names" : false, "suffix" : "" }, { "dropping-particle" : "", "family" : "Feng", "given" : "Xue", "non-dropping-particle" : "", "parse-names" : false, "suffix" : "" } ], "container-title" : "Scientific Reports", "id" : "ITEM-1", "issue" : "1", "issued" : { "date-parts" : [ [ "2015", "12", "5" ] ] }, "page" : "16065", "publisher" : "Nature Publishing Group", "title" : "Ultra-flexible Piezoelectric Devices Integrated with Heart to Harvest the Biomechanical Energy", "type" : "article-journal", "volume" : "5" }, "uris" : [ "http://www.mendeley.com/documents/?uuid=5ee7b140-3391-32a9-9c57-94e0c7fb42df" ] } ], "mendeley" : { "formattedCitation" : "[2]", "plainTextFormattedCitation" : "[2]", "previouslyFormattedCitation" : "[2]" }, "properties" : { "noteIndex" : 0 }, "schema" : "https://github.com/citation-style-language/schema/raw/master/csl-citation.json" }</w:instrText>
      </w:r>
      <w:r w:rsidR="00AF3FCD">
        <w:rPr>
          <w:rFonts w:eastAsiaTheme="minorEastAsia"/>
        </w:rPr>
        <w:fldChar w:fldCharType="separate"/>
      </w:r>
      <w:r w:rsidR="00A80308" w:rsidRPr="00A80308">
        <w:rPr>
          <w:rFonts w:eastAsiaTheme="minorEastAsia"/>
          <w:noProof/>
        </w:rPr>
        <w:t>[2]</w:t>
      </w:r>
      <w:r w:rsidR="00AF3FCD">
        <w:rPr>
          <w:rFonts w:eastAsiaTheme="minorEastAsia"/>
        </w:rPr>
        <w:fldChar w:fldCharType="end"/>
      </w:r>
      <w:r w:rsidR="00AF3FCD">
        <w:rPr>
          <w:rFonts w:eastAsiaTheme="minorEastAsia"/>
        </w:rPr>
        <w:t>. This results in a bending stiffness per unit width of 0.00252 N*m</w:t>
      </w:r>
    </w:p>
    <w:p w14:paraId="63639B6C" w14:textId="77777777" w:rsidR="00AB6EF1" w:rsidRDefault="00AB6EF1">
      <w:pPr>
        <w:rPr>
          <w:rFonts w:eastAsiaTheme="minorEastAsia"/>
        </w:rPr>
      </w:pPr>
    </w:p>
    <w:p w14:paraId="7F4E5719" w14:textId="77777777" w:rsidR="00AB6EF1" w:rsidRDefault="00AB6EF1">
      <w:r>
        <w:rPr>
          <w:rFonts w:eastAsiaTheme="minorEastAsia"/>
        </w:rPr>
        <w:t xml:space="preserve">The Gore-Tex Cardiovascular Patch has a modulus of 84.46 MPA and a thickness of 0.4 mm </w:t>
      </w:r>
      <w:r>
        <w:rPr>
          <w:rFonts w:eastAsiaTheme="minorEastAsia"/>
        </w:rPr>
        <w:fldChar w:fldCharType="begin" w:fldLock="1"/>
      </w:r>
      <w:r w:rsidR="00A80308">
        <w:rPr>
          <w:rFonts w:eastAsiaTheme="minorEastAsia"/>
        </w:rPr>
        <w:instrText>ADDIN CSL_CITATION { "citationItems" : [ { "id" : "ITEM-1", "itemData" : { "DOI" : "10.1007/978-3-540-69367-3_21", "author" : [ { "dropping-particle" : "", "family" : "Smits", "given" : "Lauris", "non-dropping-particle" : "", "parse-names" : false, "suffix" : "" }, { "dropping-particle" : "", "family" : "Ozolanta", "given" : "I.", "non-dropping-particle" : "", "parse-names" : false, "suffix" : "" }, { "dropping-particle" : "", "family" : "Ozolins", "given" : "V.", "non-dropping-particle" : "", "parse-names" : false, "suffix" : "" }, { "dropping-particle" : "", "family" : "Lacis", "given" : "A.", "non-dropping-particle" : "", "parse-names" : false, "suffix" : "" }, { "dropping-particle" : "", "family" : "Kasyanov", "given" : "V.", "non-dropping-particle" : "", "parse-names" : false, "suffix" : "" } ], "id" : "ITEM-1", "issued" : { "date-parts" : [ [ "2008" ] ] }, "page" : "76-79", "publisher" : "Springer, Berlin, Heidelberg", "title" : "Biomechanical Properties of Two Synthetic Biomaterials for Ventricular Septal Defect Closure in Infancy", "type" : "chapter" }, "uris" : [ "http://www.mendeley.com/documents/?uuid=7c87171f-5962-316e-be8e-d9ecd57fea86" ] } ], "mendeley" : { "formattedCitation" : "[3]", "plainTextFormattedCitation" : "[3]", "previouslyFormattedCitation" : "[3]" }, "properties" : { "noteIndex" : 0 }, "schema" : "https://github.com/citation-style-language/schema/raw/master/csl-citation.json" }</w:instrText>
      </w:r>
      <w:r>
        <w:rPr>
          <w:rFonts w:eastAsiaTheme="minorEastAsia"/>
        </w:rPr>
        <w:fldChar w:fldCharType="separate"/>
      </w:r>
      <w:r w:rsidR="00A80308" w:rsidRPr="00A80308">
        <w:rPr>
          <w:rFonts w:eastAsiaTheme="minorEastAsia"/>
          <w:noProof/>
        </w:rPr>
        <w:t>[3]</w:t>
      </w:r>
      <w:r>
        <w:rPr>
          <w:rFonts w:eastAsiaTheme="minorEastAsia"/>
        </w:rPr>
        <w:fldChar w:fldCharType="end"/>
      </w:r>
      <w:r>
        <w:rPr>
          <w:rFonts w:eastAsiaTheme="minorEastAsia"/>
        </w:rPr>
        <w:t xml:space="preserve"> which would have bending stiffness per unit width of 0.00045 N*m which is less than that of the Dacron Patch. However, the Dacron Patch is </w:t>
      </w:r>
      <w:proofErr w:type="spellStart"/>
      <w:r>
        <w:rPr>
          <w:rFonts w:eastAsiaTheme="minorEastAsia"/>
        </w:rPr>
        <w:t>widly</w:t>
      </w:r>
      <w:proofErr w:type="spellEnd"/>
      <w:r>
        <w:rPr>
          <w:rFonts w:eastAsiaTheme="minorEastAsia"/>
        </w:rPr>
        <w:t xml:space="preserve"> used in surgical applications, so a bending stiffness less than that would </w:t>
      </w:r>
      <w:proofErr w:type="spellStart"/>
      <w:r>
        <w:rPr>
          <w:rFonts w:eastAsiaTheme="minorEastAsia"/>
        </w:rPr>
        <w:t>would</w:t>
      </w:r>
      <w:proofErr w:type="spellEnd"/>
      <w:r>
        <w:rPr>
          <w:rFonts w:eastAsiaTheme="minorEastAsia"/>
        </w:rPr>
        <w:t xml:space="preserve"> be adequate. </w:t>
      </w:r>
    </w:p>
    <w:sectPr w:rsidR="00AB6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CD3E25"/>
    <w:multiLevelType w:val="hybridMultilevel"/>
    <w:tmpl w:val="AB46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9E"/>
    <w:rsid w:val="000A01C8"/>
    <w:rsid w:val="00210C9E"/>
    <w:rsid w:val="008E0351"/>
    <w:rsid w:val="00A80308"/>
    <w:rsid w:val="00AB6EF1"/>
    <w:rsid w:val="00AC2DBC"/>
    <w:rsid w:val="00AF3FCD"/>
    <w:rsid w:val="00C0317B"/>
    <w:rsid w:val="00E9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EBAE"/>
  <w15:chartTrackingRefBased/>
  <w15:docId w15:val="{48E48E09-DF5E-4456-AF9A-ABFB054E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0C9E"/>
    <w:rPr>
      <w:color w:val="808080"/>
    </w:rPr>
  </w:style>
  <w:style w:type="paragraph" w:styleId="ListParagraph">
    <w:name w:val="List Paragraph"/>
    <w:basedOn w:val="Normal"/>
    <w:uiPriority w:val="34"/>
    <w:qFormat/>
    <w:rsid w:val="00AF3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3898-152E-4C74-AC6A-BF63425B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K Moll</dc:creator>
  <cp:keywords/>
  <dc:description/>
  <cp:lastModifiedBy>Bray K Moll</cp:lastModifiedBy>
  <cp:revision>1</cp:revision>
  <dcterms:created xsi:type="dcterms:W3CDTF">2017-11-27T07:05:00Z</dcterms:created>
  <dcterms:modified xsi:type="dcterms:W3CDTF">2017-11-27T09:50:00Z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9702eba8-758e-3f82-8e12-fb1e2fea443d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